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TOBACCO AND VAPOUR FREE WORKPLACE</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Extensive health research has shown that smoking or inhaling second-hand smoke has an adverse effect on health and wellness. [Organization Name] is committed to upholding the law and promoting a safe and healthy workplace for all employees and visitors and will control exposure to these hazardous products by creating a tobacco and vapour free environment.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The following definitions have been taken from the Government of British Columbia and the </w:t>
      </w:r>
      <w:r w:rsidDel="00000000" w:rsidR="00000000" w:rsidRPr="00000000">
        <w:rPr>
          <w:rFonts w:ascii="Calibri" w:cs="Calibri" w:eastAsia="Calibri" w:hAnsi="Calibri"/>
          <w:i w:val="1"/>
          <w:color w:val="000000"/>
          <w:highlight w:val="white"/>
          <w:rtl w:val="0"/>
        </w:rPr>
        <w:t xml:space="preserve">Tobacco and Vapour Products Control </w:t>
      </w:r>
      <w:r w:rsidDel="00000000" w:rsidR="00000000" w:rsidRPr="00000000">
        <w:rPr>
          <w:rFonts w:ascii="Calibri" w:cs="Calibri" w:eastAsia="Calibri" w:hAnsi="Calibri"/>
          <w:i w:val="1"/>
          <w:color w:val="000000"/>
          <w:rtl w:val="0"/>
        </w:rPr>
        <w:t xml:space="preserve">Act</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4"/>
          <w:szCs w:val="24"/>
        </w:rPr>
      </w:pPr>
      <w:r w:rsidDel="00000000" w:rsidR="00000000" w:rsidRPr="00000000">
        <w:rPr>
          <w:rFonts w:ascii="Calibri" w:cs="Calibri" w:eastAsia="Calibri" w:hAnsi="Calibri"/>
          <w:color w:val="000000"/>
          <w:highlight w:val="white"/>
          <w:rtl w:val="0"/>
        </w:rPr>
        <w:t xml:space="preserve">“Fully or substantially enclosed” means a structure that has a roof or other type of covering, and more than 50% of the “nominal wall space” prevents the air from flowing easily through it.</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“Electronic cigarettes” mean </w:t>
      </w:r>
      <w:r w:rsidDel="00000000" w:rsidR="00000000" w:rsidRPr="00000000">
        <w:rPr>
          <w:rFonts w:ascii="Calibri" w:cs="Calibri" w:eastAsia="Calibri" w:hAnsi="Calibri"/>
          <w:color w:val="000000"/>
          <w:highlight w:val="white"/>
          <w:rtl w:val="0"/>
        </w:rPr>
        <w:t xml:space="preserve">a product or device, whether it resembles a cigarette, containing an electronic or battery-powered heating element capable of vapourizing an e-substance for inhalation or release into the air.</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4"/>
          <w:szCs w:val="24"/>
        </w:rPr>
      </w:pPr>
      <w:r w:rsidDel="00000000" w:rsidR="00000000" w:rsidRPr="00000000">
        <w:rPr>
          <w:rFonts w:ascii="Calibri" w:cs="Calibri" w:eastAsia="Calibri" w:hAnsi="Calibri"/>
          <w:color w:val="000000"/>
          <w:highlight w:val="white"/>
          <w:rtl w:val="0"/>
        </w:rPr>
        <w:t xml:space="preserve">"Vapour product" means the following: an e-cigarette; an e-substance; a cartridge for or a component of an e-cigarette.</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4"/>
          <w:szCs w:val="24"/>
        </w:rPr>
      </w:pPr>
      <w:r w:rsidDel="00000000" w:rsidR="00000000" w:rsidRPr="00000000">
        <w:rPr>
          <w:rFonts w:ascii="Calibri" w:cs="Calibri" w:eastAsia="Calibri" w:hAnsi="Calibri"/>
          <w:color w:val="000000"/>
          <w:sz w:val="28"/>
          <w:szCs w:val="28"/>
          <w:rtl w:val="0"/>
        </w:rPr>
        <w:t xml:space="preserve">POLICY</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[Organization Name] is a tobacco and vapour free environment. </w:t>
      </w: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1a1a1a"/>
          <w:rtl w:val="0"/>
        </w:rPr>
        <w:t xml:space="preserve">No smoking or vaping is permitted within any workplace </w:t>
      </w:r>
      <w:r w:rsidDel="00000000" w:rsidR="00000000" w:rsidRPr="00000000">
        <w:rPr>
          <w:rFonts w:ascii="Calibri" w:cs="Calibri" w:eastAsia="Calibri" w:hAnsi="Calibri"/>
          <w:color w:val="000000"/>
          <w:rtl w:val="0"/>
        </w:rPr>
        <w:t xml:space="preserve">by employees, contractors, or visitors at any time, or in the six metre buffer zones around doors, open windows, and air intakes to these locations. </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Smoking or vaping are also prohibited in any other fully or substantially enclosed workplace such as hotel rooms or vehicles being used for company business, even if an employee is the sole occupant. </w:t>
      </w: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There is no obligation of the company to provide smoking breaks outside of designated break times.</w:t>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This policy is intended for the workplace only. While [Organization Name] supports employees in living a healthy lifestyle, it will not penalize employees for smoking or vaping in their personal life. </w:t>
      </w: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u w:val="single"/>
          <w:rtl w:val="0"/>
        </w:rPr>
        <w:t xml:space="preserve">Non-Compliance</w:t>
      </w:r>
      <w:r w:rsidDel="00000000" w:rsidR="00000000" w:rsidRPr="00000000">
        <w:rPr>
          <w:rtl w:val="0"/>
        </w:rPr>
      </w:r>
    </w:p>
    <w:p w:rsidR="00000000" w:rsidDel="00000000" w:rsidP="00000000" w:rsidRDefault="00000000" w:rsidRPr="00000000" w14:paraId="0000001C">
      <w:pPr>
        <w:rPr>
          <w:rFonts w:ascii="Calibri" w:cs="Calibri" w:eastAsia="Calibri" w:hAnsi="Calibri"/>
          <w:color w:val="000000"/>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color w:val="000000"/>
          <w:rtl w:val="0"/>
        </w:rPr>
        <w:t xml:space="preserve">Employees who do not comply with the guidelines of the </w:t>
      </w:r>
      <w:hyperlink r:id="rId7">
        <w:r w:rsidDel="00000000" w:rsidR="00000000" w:rsidRPr="00000000">
          <w:rPr>
            <w:rFonts w:ascii="Calibri" w:cs="Calibri" w:eastAsia="Calibri" w:hAnsi="Calibri"/>
            <w:i w:val="1"/>
            <w:color w:val="1a5a96"/>
            <w:highlight w:val="white"/>
            <w:u w:val="single"/>
            <w:rtl w:val="0"/>
          </w:rPr>
          <w:t xml:space="preserve">Tobacco and Vapour Products Control Act</w:t>
        </w:r>
      </w:hyperlink>
      <w:r w:rsidDel="00000000" w:rsidR="00000000" w:rsidRPr="00000000">
        <w:rPr>
          <w:rFonts w:ascii="Calibri" w:cs="Calibri" w:eastAsia="Calibri" w:hAnsi="Calibri"/>
          <w:color w:val="313132"/>
          <w:highlight w:val="white"/>
          <w:rtl w:val="0"/>
        </w:rPr>
        <w:t xml:space="preserve"> and </w:t>
      </w:r>
      <w:hyperlink r:id="rId8">
        <w:r w:rsidDel="00000000" w:rsidR="00000000" w:rsidRPr="00000000">
          <w:rPr>
            <w:rFonts w:ascii="Calibri" w:cs="Calibri" w:eastAsia="Calibri" w:hAnsi="Calibri"/>
            <w:color w:val="1a5a96"/>
            <w:highlight w:val="white"/>
            <w:u w:val="single"/>
            <w:rtl w:val="0"/>
          </w:rPr>
          <w:t xml:space="preserve">Regulation</w:t>
        </w:r>
      </w:hyperlink>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color w:val="000000"/>
          <w:rtl w:val="0"/>
        </w:rPr>
        <w:t xml:space="preserve">as set out in this policy, will be subject t</w:t>
      </w:r>
      <w:r w:rsidDel="00000000" w:rsidR="00000000" w:rsidRPr="00000000">
        <w:rPr>
          <w:rFonts w:ascii="Calibri" w:cs="Calibri" w:eastAsia="Calibri" w:hAnsi="Calibri"/>
          <w:rtl w:val="0"/>
        </w:rPr>
        <w:t xml:space="preserve">o progressive discipline</w:t>
      </w:r>
      <w:r w:rsidDel="00000000" w:rsidR="00000000" w:rsidRPr="00000000">
        <w:rPr>
          <w:rFonts w:ascii="Calibri" w:cs="Calibri" w:eastAsia="Calibri" w:hAnsi="Calibri"/>
          <w:color w:val="000000"/>
          <w:rtl w:val="0"/>
        </w:rPr>
        <w:t xml:space="preserve">, including possible suspension or even termination of employment.</w:t>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9" w:type="default"/>
      <w:footerReference r:id="rId10"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claws.ca/civix/document/id/complete/statreg/96451_01" TargetMode="External"/><Relationship Id="rId8" Type="http://schemas.openxmlformats.org/officeDocument/2006/relationships/hyperlink" Target="http://www.bclaws.ca/civix/document/id/complete/statreg/232_200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bi1sGquM64Zo9GcGVtCi+NKw+g==">CgMxLjA4AHIhMWtGN0lwYlBmR3o4NjV6MWowaHUzbVVOelB5c3FheWJq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2022-06-08T19:22:00Z</dcterms:created>
  <dc:creator>Kelly</dc:creator>
</cp:coreProperties>
</file>